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64" w:rsidRDefault="000D3A64">
      <w:pPr>
        <w:pStyle w:val="Heading1"/>
        <w:rPr>
          <w:sz w:val="16"/>
        </w:rPr>
      </w:pPr>
      <w:r>
        <w:rPr>
          <w:sz w:val="16"/>
        </w:rPr>
        <w:t xml:space="preserve"> </w:t>
      </w:r>
    </w:p>
    <w:p w:rsidR="000D3A64" w:rsidRDefault="000D3A64">
      <w:pPr>
        <w:pStyle w:val="Heading1"/>
        <w:rPr>
          <w:sz w:val="16"/>
        </w:rPr>
      </w:pPr>
      <w:r>
        <w:rPr>
          <w:sz w:val="16"/>
        </w:rPr>
        <w:t xml:space="preserve">     </w:t>
      </w:r>
      <w:r w:rsidR="00A41BFC">
        <w:fldChar w:fldCharType="begin"/>
      </w:r>
      <w:r w:rsidR="00A41BFC">
        <w:instrText xml:space="preserve"> INCLUDEPICTURE  "cid:image001.png@01CD4E2A.D545B240" \* MERGEFORMATINET </w:instrText>
      </w:r>
      <w:r w:rsidR="00A41BFC">
        <w:fldChar w:fldCharType="separate"/>
      </w:r>
      <w:r w:rsidR="00D409D9">
        <w:fldChar w:fldCharType="begin"/>
      </w:r>
      <w:r w:rsidR="00D409D9">
        <w:instrText xml:space="preserve"> INCLUDEPICTURE  "cid:image001.png@01CD4E2A.D545B240" \* MERGEFORMATINET </w:instrText>
      </w:r>
      <w:r w:rsidR="00D409D9">
        <w:fldChar w:fldCharType="separate"/>
      </w:r>
      <w:r w:rsidR="00CB6837">
        <w:fldChar w:fldCharType="begin"/>
      </w:r>
      <w:r w:rsidR="00CB6837">
        <w:instrText xml:space="preserve"> INCLUDEPICTURE  "cid:image001.png@01CD4E2A.D545B240" \* MERGEFORMATINET </w:instrText>
      </w:r>
      <w:r w:rsidR="00CB6837">
        <w:fldChar w:fldCharType="separate"/>
      </w:r>
      <w:r w:rsidR="008672F9">
        <w:fldChar w:fldCharType="begin"/>
      </w:r>
      <w:r w:rsidR="008672F9">
        <w:instrText xml:space="preserve"> </w:instrText>
      </w:r>
      <w:r w:rsidR="008672F9">
        <w:instrText>INCLUDEPICTURE  "cid:image001.png@01CD4E2A.D545B240" \* MERGEFORMATINET</w:instrText>
      </w:r>
      <w:r w:rsidR="008672F9">
        <w:instrText xml:space="preserve"> </w:instrText>
      </w:r>
      <w:r w:rsidR="008672F9">
        <w:fldChar w:fldCharType="separate"/>
      </w:r>
      <w:r w:rsidR="008672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5.25pt;height:30pt">
            <v:imagedata r:id="rId7" r:href="rId8"/>
          </v:shape>
        </w:pict>
      </w:r>
      <w:r w:rsidR="008672F9">
        <w:fldChar w:fldCharType="end"/>
      </w:r>
      <w:r w:rsidR="00CB6837">
        <w:fldChar w:fldCharType="end"/>
      </w:r>
      <w:r w:rsidR="00D409D9">
        <w:fldChar w:fldCharType="end"/>
      </w:r>
      <w:r w:rsidR="00A41BFC">
        <w:fldChar w:fldCharType="end"/>
      </w:r>
      <w:r>
        <w:rPr>
          <w:sz w:val="16"/>
        </w:rPr>
        <w:t xml:space="preserve">  </w:t>
      </w:r>
    </w:p>
    <w:p w:rsidR="00A41BFC" w:rsidRDefault="00A41BFC" w:rsidP="00A41BFC">
      <w:pPr>
        <w:pStyle w:val="Heading1"/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3A64" w:rsidRPr="00E744DC" w:rsidRDefault="000D3A64" w:rsidP="00A41BFC">
      <w:pPr>
        <w:pStyle w:val="Heading1"/>
        <w:jc w:val="center"/>
        <w:rPr>
          <w:sz w:val="28"/>
          <w:szCs w:val="28"/>
        </w:rPr>
      </w:pPr>
      <w:r w:rsidRPr="00E744DC">
        <w:rPr>
          <w:sz w:val="28"/>
          <w:szCs w:val="28"/>
        </w:rPr>
        <w:t>CERTIFICATION OF RESEARCH PERSONNEL USING CONTROLLED SUBSTANCES</w:t>
      </w:r>
    </w:p>
    <w:p w:rsidR="000D3A64" w:rsidRPr="00E744DC" w:rsidRDefault="000D3A64">
      <w:pPr>
        <w:ind w:firstLine="720"/>
        <w:jc w:val="center"/>
        <w:rPr>
          <w:rFonts w:ascii="Arial" w:hAnsi="Arial"/>
          <w:sz w:val="12"/>
          <w:szCs w:val="12"/>
        </w:rPr>
      </w:pPr>
    </w:p>
    <w:p w:rsidR="000D3A64" w:rsidRDefault="000D3A64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 </w:t>
      </w:r>
    </w:p>
    <w:p w:rsidR="000D3A64" w:rsidRDefault="000D3A64" w:rsidP="00E318F4">
      <w:pPr>
        <w:rPr>
          <w:rFonts w:ascii="Arial" w:hAnsi="Arial"/>
          <w:b/>
          <w:sz w:val="18"/>
          <w:u w:val="single"/>
        </w:rPr>
      </w:pPr>
    </w:p>
    <w:p w:rsidR="000D3A64" w:rsidRDefault="000D3A64">
      <w:pPr>
        <w:pStyle w:val="BodyText2"/>
        <w:rPr>
          <w:sz w:val="16"/>
        </w:rPr>
      </w:pPr>
      <w:r>
        <w:rPr>
          <w:b/>
          <w:bCs/>
          <w:sz w:val="22"/>
        </w:rPr>
        <w:t xml:space="preserve">I. REGISTRATION </w:t>
      </w:r>
      <w:r>
        <w:rPr>
          <w:sz w:val="16"/>
        </w:rPr>
        <w:t>(Please print)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0D3A64" w:rsidRPr="004C21BF" w:rsidRDefault="000D3A64">
      <w:pPr>
        <w:pStyle w:val="BodyText2"/>
        <w:rPr>
          <w:sz w:val="16"/>
          <w:szCs w:val="16"/>
        </w:rPr>
      </w:pPr>
      <w:r>
        <w:t xml:space="preserve">    </w:t>
      </w:r>
    </w:p>
    <w:p w:rsidR="000D3A64" w:rsidRDefault="000D3A64">
      <w:pPr>
        <w:pStyle w:val="BodyText2"/>
      </w:pPr>
      <w:r>
        <w:t xml:space="preserve">    _______________________________________________________________________________________________</w:t>
      </w:r>
      <w:r>
        <w:tab/>
      </w:r>
    </w:p>
    <w:p w:rsidR="000D3A64" w:rsidRDefault="000D3A64">
      <w:pPr>
        <w:pStyle w:val="BodyText2"/>
        <w:rPr>
          <w:sz w:val="16"/>
        </w:rPr>
      </w:pPr>
      <w:r>
        <w:rPr>
          <w:sz w:val="16"/>
        </w:rPr>
        <w:t xml:space="preserve">    Principal Investigator                                                  Department                                              Campus Address                                      Phone</w:t>
      </w:r>
    </w:p>
    <w:p w:rsidR="000D3A64" w:rsidRPr="004C21BF" w:rsidRDefault="000D3A64">
      <w:pPr>
        <w:pStyle w:val="BodyText2"/>
        <w:rPr>
          <w:sz w:val="16"/>
          <w:szCs w:val="16"/>
        </w:rPr>
      </w:pPr>
    </w:p>
    <w:p w:rsidR="000D3A64" w:rsidRDefault="000D3A64">
      <w:pPr>
        <w:pStyle w:val="BodyText2"/>
      </w:pPr>
      <w:r>
        <w:t xml:space="preserve">    List the designated research personnel using controlled substances within your laboratory: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608"/>
      </w:tblGrid>
      <w:tr w:rsidR="000D3A64">
        <w:tc>
          <w:tcPr>
            <w:tcW w:w="6030" w:type="dxa"/>
            <w:vAlign w:val="center"/>
          </w:tcPr>
          <w:p w:rsidR="000D3A64" w:rsidRDefault="000D3A6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 xml:space="preserve">Research Personnel:    </w:t>
            </w:r>
            <w:r>
              <w:rPr>
                <w:rFonts w:ascii="Arial" w:hAnsi="Arial"/>
                <w:bCs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Print)</w:t>
            </w:r>
          </w:p>
        </w:tc>
        <w:tc>
          <w:tcPr>
            <w:tcW w:w="4608" w:type="dxa"/>
          </w:tcPr>
          <w:p w:rsidR="000D3A64" w:rsidRDefault="000D3A6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</w:tc>
      </w:tr>
      <w:tr w:rsidR="000D3A64">
        <w:tc>
          <w:tcPr>
            <w:tcW w:w="6030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8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D3A64">
        <w:tc>
          <w:tcPr>
            <w:tcW w:w="6030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8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D3A64">
        <w:tc>
          <w:tcPr>
            <w:tcW w:w="6030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8" w:type="dxa"/>
          </w:tcPr>
          <w:p w:rsidR="000D3A64" w:rsidRDefault="000D3A64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D3A64" w:rsidRDefault="000D3A64">
      <w:pPr>
        <w:jc w:val="both"/>
        <w:rPr>
          <w:rFonts w:ascii="Arial" w:hAnsi="Arial"/>
        </w:rPr>
      </w:pPr>
    </w:p>
    <w:p w:rsidR="000D3A64" w:rsidRDefault="000D3A64">
      <w:pPr>
        <w:tabs>
          <w:tab w:val="left" w:pos="270"/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Controlled Substances will be secured in (Building/room):_________________________________________________</w:t>
      </w:r>
    </w:p>
    <w:p w:rsidR="000D3A64" w:rsidRDefault="000D3A64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</w:t>
      </w:r>
    </w:p>
    <w:p w:rsidR="000D3A64" w:rsidRDefault="000D3A64">
      <w:pPr>
        <w:pStyle w:val="BodyText2"/>
        <w:rPr>
          <w:b/>
          <w:bCs/>
          <w:sz w:val="22"/>
        </w:rPr>
      </w:pPr>
      <w:r>
        <w:rPr>
          <w:b/>
          <w:bCs/>
          <w:sz w:val="22"/>
        </w:rPr>
        <w:t xml:space="preserve">II. CERTIFICATION </w:t>
      </w:r>
    </w:p>
    <w:p w:rsidR="000D3A64" w:rsidRPr="002074DA" w:rsidRDefault="000D3A64">
      <w:pPr>
        <w:pStyle w:val="BodyText2"/>
        <w:rPr>
          <w:b/>
          <w:bCs/>
          <w:sz w:val="16"/>
          <w:szCs w:val="16"/>
        </w:rPr>
      </w:pPr>
    </w:p>
    <w:p w:rsidR="000D3A64" w:rsidRDefault="000D3A64">
      <w:pPr>
        <w:pStyle w:val="BodyText2"/>
        <w:tabs>
          <w:tab w:val="left" w:pos="270"/>
        </w:tabs>
        <w:ind w:left="270"/>
      </w:pPr>
      <w:r>
        <w:t xml:space="preserve">The Principal Investigator certifies that designated research personnel using controlled substances within their laboratory are listed above and have read, signed, and </w:t>
      </w:r>
      <w:r w:rsidR="00F742BD">
        <w:t>understands</w:t>
      </w:r>
      <w:r>
        <w:t xml:space="preserve"> that:</w:t>
      </w:r>
    </w:p>
    <w:p w:rsidR="000D3A64" w:rsidRDefault="000D3A64">
      <w:pPr>
        <w:pStyle w:val="BodyText2"/>
        <w:tabs>
          <w:tab w:val="left" w:pos="270"/>
        </w:tabs>
        <w:ind w:left="270"/>
      </w:pPr>
    </w:p>
    <w:p w:rsidR="000D3A64" w:rsidRDefault="000D3A64">
      <w:pPr>
        <w:pStyle w:val="BodyText2"/>
        <w:numPr>
          <w:ilvl w:val="0"/>
          <w:numId w:val="5"/>
        </w:numPr>
        <w:tabs>
          <w:tab w:val="left" w:pos="270"/>
        </w:tabs>
      </w:pPr>
      <w:r>
        <w:t xml:space="preserve">The University’s </w:t>
      </w:r>
      <w:r w:rsidR="00150F84">
        <w:t>procedures</w:t>
      </w:r>
      <w:r>
        <w:t xml:space="preserve"> regarding procurement, distribution, use, and record keeping, of controlled substances are regulated by the Drug Enforcement Administration and are guided by the regulations detailed in </w:t>
      </w:r>
      <w:r w:rsidRPr="002D2653">
        <w:t>21 CFR 1300</w:t>
      </w:r>
      <w:r w:rsidR="00A41BFC">
        <w:rPr>
          <w:b/>
          <w:i/>
        </w:rPr>
        <w:t>.</w:t>
      </w:r>
    </w:p>
    <w:p w:rsidR="000D3A64" w:rsidRDefault="000D3A64">
      <w:pPr>
        <w:tabs>
          <w:tab w:val="left" w:pos="270"/>
        </w:tabs>
        <w:ind w:left="270"/>
        <w:jc w:val="both"/>
        <w:rPr>
          <w:rFonts w:ascii="Arial" w:hAnsi="Arial"/>
          <w:b/>
          <w:i/>
          <w:sz w:val="16"/>
        </w:rPr>
      </w:pPr>
    </w:p>
    <w:p w:rsidR="000D3A64" w:rsidRDefault="000D3A64">
      <w:pPr>
        <w:pStyle w:val="BodyTextIndent"/>
        <w:numPr>
          <w:ilvl w:val="0"/>
          <w:numId w:val="5"/>
        </w:numPr>
      </w:pPr>
      <w:r>
        <w:t xml:space="preserve">The University holds and recognizes institutional DEA registrations for basic and preclinical research protocols (i.e., Schedule II-V).  </w:t>
      </w:r>
    </w:p>
    <w:p w:rsidR="000D3A64" w:rsidRDefault="000D3A64">
      <w:pPr>
        <w:pStyle w:val="BodyTextIndent"/>
        <w:tabs>
          <w:tab w:val="clear" w:pos="630"/>
        </w:tabs>
        <w:ind w:left="270" w:firstLine="0"/>
        <w:rPr>
          <w:sz w:val="16"/>
        </w:rPr>
      </w:pPr>
    </w:p>
    <w:p w:rsidR="000D3A64" w:rsidRDefault="000D3A64">
      <w:pPr>
        <w:pStyle w:val="BodyTextIndent"/>
        <w:numPr>
          <w:ilvl w:val="0"/>
          <w:numId w:val="5"/>
        </w:numPr>
      </w:pPr>
      <w:r>
        <w:t xml:space="preserve">Faculty using controlled substances in basic and preclinical research must register with </w:t>
      </w:r>
      <w:r w:rsidR="00CB6837">
        <w:t>Comparative Medicine</w:t>
      </w:r>
      <w:r>
        <w:t>, and limit access to, and use of controlled substances to designated individual(s) listed above.</w:t>
      </w:r>
    </w:p>
    <w:p w:rsidR="000D3A64" w:rsidRDefault="000D3A64">
      <w:pPr>
        <w:pStyle w:val="BodyTextIndent"/>
        <w:tabs>
          <w:tab w:val="clear" w:pos="630"/>
        </w:tabs>
        <w:ind w:left="0" w:firstLine="0"/>
        <w:rPr>
          <w:sz w:val="16"/>
        </w:rPr>
      </w:pPr>
    </w:p>
    <w:p w:rsidR="002D2653" w:rsidRDefault="000D3A64">
      <w:pPr>
        <w:pStyle w:val="BodyText2"/>
        <w:numPr>
          <w:ilvl w:val="0"/>
          <w:numId w:val="5"/>
        </w:numPr>
      </w:pPr>
      <w:r>
        <w:t>Registrants must be faculty and pr</w:t>
      </w:r>
      <w:r w:rsidR="002D2653">
        <w:t xml:space="preserve">ocure all controlled substances, schedules II through V </w:t>
      </w:r>
      <w:r>
        <w:t xml:space="preserve">from </w:t>
      </w:r>
      <w:r w:rsidR="00CB6837">
        <w:t>Comparative Medicine</w:t>
      </w:r>
      <w:r w:rsidR="002D2653">
        <w:t xml:space="preserve"> unless </w:t>
      </w:r>
    </w:p>
    <w:p w:rsidR="002D2653" w:rsidRDefault="002D2653" w:rsidP="002D2653">
      <w:pPr>
        <w:pStyle w:val="BodyText2"/>
        <w:numPr>
          <w:ilvl w:val="1"/>
          <w:numId w:val="5"/>
        </w:numPr>
      </w:pPr>
      <w:r>
        <w:t xml:space="preserve">Issued by a consulting veterinarian working with the FAU marine mammal rescue group or </w:t>
      </w:r>
    </w:p>
    <w:p w:rsidR="002D2653" w:rsidRDefault="002D2653" w:rsidP="002D2653">
      <w:pPr>
        <w:pStyle w:val="BodyText2"/>
        <w:numPr>
          <w:ilvl w:val="1"/>
          <w:numId w:val="5"/>
        </w:numPr>
      </w:pPr>
      <w:r>
        <w:t xml:space="preserve">Issues by a veterinarian responsible for the health care of animals used in wildlife or field research as reflected in an MOU between the particular veterinarian and the AV/Institution. </w:t>
      </w:r>
    </w:p>
    <w:p w:rsidR="000D3A64" w:rsidRDefault="000D3A64">
      <w:pPr>
        <w:pStyle w:val="BodyText2"/>
        <w:rPr>
          <w:sz w:val="16"/>
        </w:rPr>
      </w:pPr>
    </w:p>
    <w:p w:rsidR="000D3A64" w:rsidRDefault="000D3A64">
      <w:pPr>
        <w:pStyle w:val="BodyText2"/>
        <w:tabs>
          <w:tab w:val="left" w:pos="630"/>
        </w:tabs>
        <w:ind w:left="630" w:hanging="360"/>
      </w:pPr>
      <w:r>
        <w:t>5.</w:t>
      </w:r>
      <w:r>
        <w:tab/>
        <w:t>Faculty must ensure controlled substances are stored in an area of limited access, securely locked in a substantially constructed cabinet.  Controlled substances must be secured behind two locks.  Laboratory doors can be considered one lock, if doors of unattended labs are kept locked</w:t>
      </w:r>
      <w:r w:rsidR="002D2653">
        <w:t xml:space="preserve"> all the time</w:t>
      </w:r>
      <w:r>
        <w:t>.</w:t>
      </w:r>
    </w:p>
    <w:p w:rsidR="000D3A64" w:rsidRDefault="000D3A64">
      <w:pPr>
        <w:pStyle w:val="BodyText2"/>
        <w:tabs>
          <w:tab w:val="left" w:pos="630"/>
        </w:tabs>
        <w:ind w:left="630" w:hanging="360"/>
      </w:pPr>
      <w:r>
        <w:t xml:space="preserve">  </w:t>
      </w:r>
    </w:p>
    <w:p w:rsidR="000D3A64" w:rsidRDefault="000D3A64">
      <w:pPr>
        <w:pStyle w:val="BodyText2"/>
        <w:numPr>
          <w:ilvl w:val="0"/>
          <w:numId w:val="6"/>
        </w:numPr>
      </w:pPr>
      <w:r>
        <w:t xml:space="preserve">Registered Faculty are responsible for maintaining accurate records of controlled substance use within their laboratory on the </w:t>
      </w:r>
      <w:r w:rsidRPr="002D2653">
        <w:rPr>
          <w:i/>
        </w:rPr>
        <w:t xml:space="preserve">Controlled Substance </w:t>
      </w:r>
      <w:r w:rsidR="002D2653" w:rsidRPr="002D2653">
        <w:rPr>
          <w:i/>
        </w:rPr>
        <w:t>Usage</w:t>
      </w:r>
      <w:r w:rsidRPr="002D2653">
        <w:rPr>
          <w:i/>
        </w:rPr>
        <w:t xml:space="preserve"> Log</w:t>
      </w:r>
      <w:r>
        <w:rPr>
          <w:b/>
          <w:i/>
        </w:rPr>
        <w:t>,</w:t>
      </w:r>
      <w:r>
        <w:t xml:space="preserve"> and for the return of the completed log when the substance is depleted. Additional requests for a controlled substance can only be filled when the status of the previous dispersal has been made. Any unused controlled substance, controlled substance associated with a completed protocol, or </w:t>
      </w:r>
      <w:r w:rsidR="002D2653">
        <w:t>expired</w:t>
      </w:r>
      <w:r>
        <w:t xml:space="preserve"> controlled substance will be returned to </w:t>
      </w:r>
      <w:r w:rsidR="00CB6837">
        <w:t>Comparative Medicine</w:t>
      </w:r>
      <w:r>
        <w:t>.</w:t>
      </w:r>
    </w:p>
    <w:p w:rsidR="000D3A64" w:rsidRDefault="000D3A64">
      <w:pPr>
        <w:pStyle w:val="BodyText2"/>
        <w:ind w:left="270"/>
      </w:pPr>
      <w:r>
        <w:t xml:space="preserve">  </w:t>
      </w:r>
    </w:p>
    <w:p w:rsidR="000D3A64" w:rsidRDefault="000D3A64">
      <w:pPr>
        <w:pStyle w:val="BodyText2"/>
        <w:numPr>
          <w:ilvl w:val="0"/>
          <w:numId w:val="6"/>
        </w:numPr>
        <w:rPr>
          <w:sz w:val="16"/>
        </w:rPr>
      </w:pPr>
      <w:r>
        <w:t xml:space="preserve">Request for controlled substances must be submitted in writing </w:t>
      </w:r>
      <w:r w:rsidR="002D2653">
        <w:t>through the VSATS online ordering system</w:t>
      </w:r>
      <w:r w:rsidR="005F3F5E">
        <w:t>.</w:t>
      </w:r>
      <w:r>
        <w:t xml:space="preserve">  </w:t>
      </w:r>
    </w:p>
    <w:p w:rsidR="000D3A64" w:rsidRDefault="000D3A64">
      <w:pPr>
        <w:pStyle w:val="BodyText2"/>
        <w:rPr>
          <w:sz w:val="16"/>
        </w:rPr>
      </w:pPr>
    </w:p>
    <w:p w:rsidR="000D3A64" w:rsidRDefault="000D3A64">
      <w:pPr>
        <w:pStyle w:val="BodyText2"/>
        <w:numPr>
          <w:ilvl w:val="0"/>
          <w:numId w:val="6"/>
        </w:numPr>
      </w:pPr>
      <w:r>
        <w:t xml:space="preserve">Laboratories, storage cabinets, and logs of use are subject to unannounced inspections and audits by the DEA, </w:t>
      </w:r>
      <w:r w:rsidR="005F3F5E">
        <w:t xml:space="preserve">the IACUC and </w:t>
      </w:r>
      <w:r w:rsidR="00CB6837">
        <w:t>Comparative Medicine</w:t>
      </w:r>
      <w:r>
        <w:t>.</w:t>
      </w:r>
    </w:p>
    <w:p w:rsidR="000D3A64" w:rsidRDefault="000D3A64">
      <w:pPr>
        <w:pStyle w:val="BodyText2"/>
        <w:tabs>
          <w:tab w:val="left" w:pos="630"/>
        </w:tabs>
        <w:rPr>
          <w:sz w:val="16"/>
        </w:rPr>
      </w:pPr>
    </w:p>
    <w:p w:rsidR="000D3A64" w:rsidRDefault="000D3A64">
      <w:pPr>
        <w:pStyle w:val="BodyText2"/>
        <w:numPr>
          <w:ilvl w:val="0"/>
          <w:numId w:val="6"/>
        </w:numPr>
      </w:pPr>
      <w:r>
        <w:t>Noncompliance can result in suspension of privileges to use controlled substances.</w:t>
      </w:r>
    </w:p>
    <w:p w:rsidR="000D3A64" w:rsidRDefault="000D3A64">
      <w:pPr>
        <w:pStyle w:val="BodyText2"/>
      </w:pPr>
    </w:p>
    <w:p w:rsidR="000D3A64" w:rsidRDefault="000D3A64" w:rsidP="00D409D9">
      <w:pPr>
        <w:jc w:val="both"/>
        <w:rPr>
          <w:rFonts w:ascii="Arial" w:hAnsi="Arial"/>
        </w:rPr>
      </w:pPr>
      <w:r>
        <w:rPr>
          <w:rFonts w:ascii="Arial" w:hAnsi="Arial"/>
        </w:rPr>
        <w:t>The undersigned Principal Investigator certifies they have read, and understand the p</w:t>
      </w:r>
      <w:r w:rsidR="00150F84">
        <w:rPr>
          <w:rFonts w:ascii="Arial" w:hAnsi="Arial"/>
        </w:rPr>
        <w:t>rocedures</w:t>
      </w:r>
      <w:r>
        <w:rPr>
          <w:rFonts w:ascii="Arial" w:hAnsi="Arial"/>
        </w:rPr>
        <w:t xml:space="preserve"> described above, and accept the conditions of controlled substance use in research and teaching at </w:t>
      </w:r>
      <w:r w:rsidR="00761BFA">
        <w:rPr>
          <w:rFonts w:ascii="Arial" w:hAnsi="Arial"/>
        </w:rPr>
        <w:t>Florida Atlantic University</w:t>
      </w:r>
      <w:r>
        <w:rPr>
          <w:rFonts w:ascii="Arial" w:hAnsi="Arial"/>
        </w:rPr>
        <w:t>.</w:t>
      </w:r>
    </w:p>
    <w:p w:rsidR="002074DA" w:rsidRDefault="002074DA">
      <w:pPr>
        <w:pBdr>
          <w:bottom w:val="single" w:sz="4" w:space="0" w:color="auto"/>
        </w:pBdr>
        <w:jc w:val="both"/>
        <w:rPr>
          <w:rFonts w:ascii="Arial" w:hAnsi="Arial"/>
        </w:rPr>
      </w:pPr>
    </w:p>
    <w:p w:rsidR="00E318F4" w:rsidRDefault="00E318F4">
      <w:pPr>
        <w:pBdr>
          <w:bottom w:val="single" w:sz="4" w:space="0" w:color="auto"/>
        </w:pBdr>
        <w:jc w:val="both"/>
        <w:rPr>
          <w:rFonts w:ascii="Arial" w:hAnsi="Arial"/>
        </w:rPr>
      </w:pPr>
    </w:p>
    <w:p w:rsidR="00D409D9" w:rsidRDefault="000D3A64">
      <w:pPr>
        <w:rPr>
          <w:rFonts w:ascii="Arial" w:hAnsi="Arial"/>
        </w:rPr>
      </w:pPr>
      <w:r>
        <w:rPr>
          <w:rFonts w:ascii="Arial" w:hAnsi="Arial"/>
        </w:rPr>
        <w:t>Signature of Principal Investigator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bookmarkStart w:id="0" w:name="_GoBack"/>
      <w:bookmarkEnd w:id="0"/>
    </w:p>
    <w:sectPr w:rsidR="00D409D9" w:rsidSect="00E744DC">
      <w:footerReference w:type="even" r:id="rId9"/>
      <w:footerReference w:type="default" r:id="rId10"/>
      <w:pgSz w:w="12240" w:h="15840"/>
      <w:pgMar w:top="288" w:right="432" w:bottom="576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53" w:rsidRDefault="002D2653">
      <w:r>
        <w:separator/>
      </w:r>
    </w:p>
  </w:endnote>
  <w:endnote w:type="continuationSeparator" w:id="0">
    <w:p w:rsidR="002D2653" w:rsidRDefault="002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53" w:rsidRDefault="002D2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653" w:rsidRDefault="002D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53" w:rsidRDefault="002D2653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</w:p>
  <w:p w:rsidR="002D2653" w:rsidRDefault="00CB683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CM</w:t>
    </w:r>
    <w:r w:rsidR="00D409D9">
      <w:rPr>
        <w:rFonts w:ascii="Arial" w:hAnsi="Arial" w:cs="Arial"/>
        <w:sz w:val="16"/>
      </w:rPr>
      <w:t>037</w:t>
    </w:r>
    <w:r w:rsidR="002D2653">
      <w:rPr>
        <w:rFonts w:ascii="Arial" w:hAnsi="Arial" w:cs="Arial"/>
        <w:sz w:val="16"/>
      </w:rPr>
      <w:t xml:space="preserve"> Certification of Research Personnel Using Controlled Substances</w:t>
    </w:r>
  </w:p>
  <w:p w:rsidR="002D2653" w:rsidRDefault="002D2653">
    <w:pPr>
      <w:pStyle w:val="Footer"/>
    </w:pPr>
    <w:r>
      <w:rPr>
        <w:rFonts w:ascii="Arial" w:hAnsi="Arial" w:cs="Arial"/>
        <w:sz w:val="16"/>
      </w:rPr>
      <w:t xml:space="preserve">Effective </w:t>
    </w:r>
    <w:r w:rsidR="005F3F5E">
      <w:rPr>
        <w:rFonts w:ascii="Arial" w:hAnsi="Arial" w:cs="Arial"/>
        <w:sz w:val="16"/>
      </w:rPr>
      <w:t>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53" w:rsidRDefault="002D2653">
      <w:r>
        <w:separator/>
      </w:r>
    </w:p>
  </w:footnote>
  <w:footnote w:type="continuationSeparator" w:id="0">
    <w:p w:rsidR="002D2653" w:rsidRDefault="002D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DAA"/>
    <w:multiLevelType w:val="hybridMultilevel"/>
    <w:tmpl w:val="881876F8"/>
    <w:lvl w:ilvl="0" w:tplc="4C6E810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8A53358"/>
    <w:multiLevelType w:val="hybridMultilevel"/>
    <w:tmpl w:val="5E765C40"/>
    <w:lvl w:ilvl="0" w:tplc="C6C88AEE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2FB97ED8"/>
    <w:multiLevelType w:val="hybridMultilevel"/>
    <w:tmpl w:val="161EF862"/>
    <w:lvl w:ilvl="0" w:tplc="4C6E81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43CF27F3"/>
    <w:multiLevelType w:val="hybridMultilevel"/>
    <w:tmpl w:val="8DAEBB2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 w15:restartNumberingAfterBreak="0">
    <w:nsid w:val="450F14FD"/>
    <w:multiLevelType w:val="hybridMultilevel"/>
    <w:tmpl w:val="ED940D9A"/>
    <w:lvl w:ilvl="0" w:tplc="7190314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4CDC65AD"/>
    <w:multiLevelType w:val="hybridMultilevel"/>
    <w:tmpl w:val="72A477AA"/>
    <w:lvl w:ilvl="0" w:tplc="BBFC2ACE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5340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E"/>
    <w:rsid w:val="0002665C"/>
    <w:rsid w:val="000D3A64"/>
    <w:rsid w:val="0014137F"/>
    <w:rsid w:val="00150F84"/>
    <w:rsid w:val="002074DA"/>
    <w:rsid w:val="00222ED3"/>
    <w:rsid w:val="00242FD7"/>
    <w:rsid w:val="002625D9"/>
    <w:rsid w:val="00267629"/>
    <w:rsid w:val="002D2653"/>
    <w:rsid w:val="00381972"/>
    <w:rsid w:val="004C21BF"/>
    <w:rsid w:val="004D27DC"/>
    <w:rsid w:val="005831F0"/>
    <w:rsid w:val="005F3F5E"/>
    <w:rsid w:val="006C2AB2"/>
    <w:rsid w:val="006E7FF4"/>
    <w:rsid w:val="00761BFA"/>
    <w:rsid w:val="007B354E"/>
    <w:rsid w:val="007D5FC1"/>
    <w:rsid w:val="00802B6C"/>
    <w:rsid w:val="00803C61"/>
    <w:rsid w:val="008672F9"/>
    <w:rsid w:val="009763EE"/>
    <w:rsid w:val="009B5EF1"/>
    <w:rsid w:val="009D0A16"/>
    <w:rsid w:val="00A41BFC"/>
    <w:rsid w:val="00A44065"/>
    <w:rsid w:val="00AC348B"/>
    <w:rsid w:val="00AC4C22"/>
    <w:rsid w:val="00B50944"/>
    <w:rsid w:val="00CB6837"/>
    <w:rsid w:val="00D409D9"/>
    <w:rsid w:val="00DC18D4"/>
    <w:rsid w:val="00E318F4"/>
    <w:rsid w:val="00E744DC"/>
    <w:rsid w:val="00F55EF8"/>
    <w:rsid w:val="00F742BD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ADCE9D-D7FC-4D0F-9B38-2D92AAD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70"/>
        <w:tab w:val="left" w:pos="630"/>
      </w:tabs>
      <w:ind w:left="630" w:hanging="63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630"/>
      </w:tabs>
      <w:ind w:left="630" w:hanging="360"/>
      <w:jc w:val="both"/>
    </w:pPr>
    <w:rPr>
      <w:rFonts w:ascii="Arial" w:hAnsi="Arial"/>
    </w:rPr>
  </w:style>
  <w:style w:type="character" w:styleId="Hyperlink">
    <w:name w:val="Hyperlink"/>
    <w:rsid w:val="004D27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4E2A.D545B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CERTIFICATION</vt:lpstr>
    </vt:vector>
  </TitlesOfParts>
  <Company>H. Lee Moffitt Cancer Center</Company>
  <LinksUpToDate>false</LinksUpToDate>
  <CharactersWithSpaces>3604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mailto:CompMed@research.usf.edu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CERTIFICATION</dc:title>
  <dc:subject/>
  <dc:creator>Comparative Biomedicine</dc:creator>
  <cp:keywords/>
  <cp:lastModifiedBy>Sylvia Gografe</cp:lastModifiedBy>
  <cp:revision>4</cp:revision>
  <cp:lastPrinted>2019-01-14T15:44:00Z</cp:lastPrinted>
  <dcterms:created xsi:type="dcterms:W3CDTF">2015-12-04T19:53:00Z</dcterms:created>
  <dcterms:modified xsi:type="dcterms:W3CDTF">2019-01-14T15:44:00Z</dcterms:modified>
</cp:coreProperties>
</file>